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A1" w:rsidRPr="0096333D" w:rsidRDefault="00BA5FA1" w:rsidP="0096333D">
      <w:pPr>
        <w:jc w:val="center"/>
        <w:rPr>
          <w:sz w:val="24"/>
          <w:szCs w:val="24"/>
        </w:rPr>
      </w:pPr>
      <w:r>
        <w:rPr>
          <w:noProof/>
        </w:rPr>
        <w:drawing>
          <wp:inline distT="0" distB="0" distL="0" distR="0">
            <wp:extent cx="1432560" cy="1432560"/>
            <wp:effectExtent l="0" t="0" r="0" b="0"/>
            <wp:docPr id="1" name="Picture 1" descr="http://files.constantcontact.com/aede4e77301/7d184cb6-6408-430b-9ab3-fb55f07d4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aede4e77301/7d184cb6-6408-430b-9ab3-fb55f07d48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BA5FA1" w:rsidRPr="00C92860" w:rsidRDefault="00BA5FA1" w:rsidP="00BA5FA1">
      <w:pPr>
        <w:jc w:val="center"/>
        <w:rPr>
          <w:rFonts w:ascii="Times New Roman" w:hAnsi="Times New Roman"/>
          <w:iCs/>
          <w:color w:val="008000"/>
          <w:sz w:val="48"/>
          <w:szCs w:val="48"/>
          <w:u w:val="single"/>
        </w:rPr>
      </w:pPr>
      <w:r w:rsidRPr="00C92860">
        <w:rPr>
          <w:rFonts w:ascii="Times New Roman" w:hAnsi="Times New Roman"/>
          <w:iCs/>
          <w:color w:val="008000"/>
          <w:sz w:val="48"/>
          <w:szCs w:val="48"/>
          <w:u w:val="single"/>
        </w:rPr>
        <w:t>TAPL SPRING SEMINAR</w:t>
      </w:r>
    </w:p>
    <w:p w:rsidR="00BA5FA1" w:rsidRPr="00C92860" w:rsidRDefault="00BA5FA1" w:rsidP="00BA5FA1">
      <w:pPr>
        <w:jc w:val="center"/>
        <w:rPr>
          <w:rFonts w:ascii="Times New Roman" w:hAnsi="Times New Roman"/>
          <w:i/>
          <w:iCs/>
          <w:color w:val="008000"/>
          <w:sz w:val="40"/>
          <w:szCs w:val="40"/>
          <w:vertAlign w:val="superscript"/>
        </w:rPr>
      </w:pPr>
      <w:r w:rsidRPr="00C92860">
        <w:rPr>
          <w:rFonts w:ascii="Times New Roman" w:hAnsi="Times New Roman"/>
          <w:i/>
          <w:iCs/>
          <w:color w:val="008000"/>
          <w:sz w:val="40"/>
          <w:szCs w:val="40"/>
        </w:rPr>
        <w:t xml:space="preserve">THURSDAY, </w:t>
      </w:r>
      <w:r w:rsidR="00C92860" w:rsidRPr="00C92860">
        <w:rPr>
          <w:rFonts w:ascii="Times New Roman" w:hAnsi="Times New Roman"/>
          <w:i/>
          <w:iCs/>
          <w:color w:val="008000"/>
          <w:sz w:val="40"/>
          <w:szCs w:val="40"/>
        </w:rPr>
        <w:t xml:space="preserve">MAY </w:t>
      </w:r>
      <w:r w:rsidR="00C92860">
        <w:rPr>
          <w:rFonts w:ascii="Times New Roman" w:hAnsi="Times New Roman"/>
          <w:i/>
          <w:iCs/>
          <w:color w:val="008000"/>
          <w:sz w:val="40"/>
          <w:szCs w:val="40"/>
        </w:rPr>
        <w:t>3, 2018</w:t>
      </w:r>
    </w:p>
    <w:p w:rsidR="00EC0E25" w:rsidRPr="00AC1B95" w:rsidRDefault="00EC0E25" w:rsidP="00BA5FA1">
      <w:pPr>
        <w:jc w:val="center"/>
        <w:rPr>
          <w:rFonts w:ascii="Franklin Gothic Book" w:hAnsi="Franklin Gothic Book"/>
          <w:i/>
          <w:iCs/>
          <w:color w:val="008000"/>
          <w:sz w:val="16"/>
          <w:szCs w:val="16"/>
        </w:rPr>
      </w:pPr>
    </w:p>
    <w:p w:rsidR="00C92860" w:rsidRDefault="00EC0E25" w:rsidP="0058782A">
      <w:pPr>
        <w:jc w:val="center"/>
        <w:rPr>
          <w:rFonts w:ascii="Franklin Gothic Book" w:hAnsi="Franklin Gothic Book" w:cstheme="minorBidi"/>
          <w:sz w:val="21"/>
          <w:szCs w:val="21"/>
        </w:rPr>
      </w:pPr>
      <w:r w:rsidRPr="00C01B6C">
        <w:rPr>
          <w:rFonts w:ascii="Franklin Gothic Book" w:hAnsi="Franklin Gothic Book" w:cstheme="minorBidi"/>
          <w:i/>
          <w:sz w:val="21"/>
          <w:szCs w:val="21"/>
        </w:rPr>
        <w:t xml:space="preserve">Perkins Auditorium </w:t>
      </w:r>
      <w:r w:rsidRPr="00C01B6C">
        <w:rPr>
          <w:rFonts w:ascii="Franklin Gothic Book" w:hAnsi="Franklin Gothic Book" w:cstheme="minorBidi"/>
          <w:b/>
          <w:i/>
          <w:color w:val="538135" w:themeColor="accent6" w:themeShade="BF"/>
          <w:sz w:val="21"/>
          <w:szCs w:val="21"/>
        </w:rPr>
        <w:t>|</w:t>
      </w:r>
      <w:r w:rsidRPr="00C01B6C">
        <w:rPr>
          <w:rFonts w:ascii="Franklin Gothic Book" w:hAnsi="Franklin Gothic Book" w:cstheme="minorBidi"/>
          <w:i/>
          <w:sz w:val="21"/>
          <w:szCs w:val="21"/>
        </w:rPr>
        <w:t xml:space="preserve"> Schusterman Learning Center, OU-Tulsa </w:t>
      </w:r>
      <w:r w:rsidRPr="00C01B6C">
        <w:rPr>
          <w:rFonts w:ascii="Franklin Gothic Book" w:hAnsi="Franklin Gothic Book" w:cstheme="minorBidi"/>
          <w:b/>
          <w:i/>
          <w:color w:val="538135" w:themeColor="accent6" w:themeShade="BF"/>
          <w:sz w:val="21"/>
          <w:szCs w:val="21"/>
        </w:rPr>
        <w:t xml:space="preserve">| </w:t>
      </w:r>
      <w:r w:rsidRPr="00C01B6C">
        <w:rPr>
          <w:rFonts w:ascii="Franklin Gothic Book" w:hAnsi="Franklin Gothic Book" w:cstheme="minorBidi"/>
          <w:i/>
          <w:sz w:val="21"/>
          <w:szCs w:val="21"/>
        </w:rPr>
        <w:t>4502 E. 41</w:t>
      </w:r>
      <w:r w:rsidRPr="00C01B6C">
        <w:rPr>
          <w:rFonts w:ascii="Franklin Gothic Book" w:hAnsi="Franklin Gothic Book" w:cstheme="minorBidi"/>
          <w:i/>
          <w:sz w:val="21"/>
          <w:szCs w:val="21"/>
          <w:vertAlign w:val="superscript"/>
        </w:rPr>
        <w:t>st</w:t>
      </w:r>
      <w:r w:rsidRPr="00C01B6C">
        <w:rPr>
          <w:rFonts w:ascii="Franklin Gothic Book" w:hAnsi="Franklin Gothic Book" w:cstheme="minorBidi"/>
          <w:i/>
          <w:sz w:val="21"/>
          <w:szCs w:val="21"/>
        </w:rPr>
        <w:t xml:space="preserve"> St Tulsa, OK 74135</w:t>
      </w:r>
      <w:r w:rsidR="0058782A" w:rsidRPr="00C01B6C">
        <w:rPr>
          <w:rFonts w:ascii="Franklin Gothic Book" w:hAnsi="Franklin Gothic Book" w:cstheme="minorBidi"/>
          <w:sz w:val="21"/>
          <w:szCs w:val="21"/>
        </w:rPr>
        <w:t xml:space="preserve"> </w:t>
      </w:r>
    </w:p>
    <w:p w:rsidR="00BA5FA1" w:rsidRPr="00C01B6C" w:rsidRDefault="00EC0E25" w:rsidP="0058782A">
      <w:pPr>
        <w:jc w:val="center"/>
        <w:rPr>
          <w:rFonts w:ascii="Franklin Gothic Book" w:hAnsi="Franklin Gothic Book" w:cstheme="minorBidi"/>
          <w:sz w:val="21"/>
          <w:szCs w:val="21"/>
        </w:rPr>
      </w:pPr>
      <w:r w:rsidRPr="00C01B6C">
        <w:rPr>
          <w:rFonts w:ascii="Franklin Gothic Book" w:hAnsi="Franklin Gothic Book" w:cstheme="minorBidi"/>
          <w:i/>
          <w:sz w:val="21"/>
          <w:szCs w:val="21"/>
        </w:rPr>
        <w:t>Registration</w:t>
      </w:r>
      <w:r w:rsidR="0058782A" w:rsidRPr="00C01B6C">
        <w:rPr>
          <w:rFonts w:ascii="Franklin Gothic Book" w:hAnsi="Franklin Gothic Book" w:cstheme="minorBidi"/>
          <w:i/>
          <w:sz w:val="21"/>
          <w:szCs w:val="21"/>
        </w:rPr>
        <w:t>/Check-in</w:t>
      </w:r>
      <w:r w:rsidRPr="00C01B6C">
        <w:rPr>
          <w:rFonts w:ascii="Franklin Gothic Book" w:hAnsi="Franklin Gothic Book" w:cstheme="minorBidi"/>
          <w:i/>
          <w:sz w:val="21"/>
          <w:szCs w:val="21"/>
        </w:rPr>
        <w:t xml:space="preserve"> opens at 8:00</w:t>
      </w:r>
      <w:r w:rsidR="00C92860">
        <w:rPr>
          <w:rFonts w:ascii="Franklin Gothic Book" w:hAnsi="Franklin Gothic Book" w:cstheme="minorBidi"/>
          <w:i/>
          <w:sz w:val="21"/>
          <w:szCs w:val="21"/>
        </w:rPr>
        <w:t xml:space="preserve"> </w:t>
      </w:r>
      <w:r w:rsidRPr="00C01B6C">
        <w:rPr>
          <w:rFonts w:ascii="Franklin Gothic Book" w:hAnsi="Franklin Gothic Book" w:cstheme="minorBidi"/>
          <w:i/>
          <w:sz w:val="21"/>
          <w:szCs w:val="21"/>
        </w:rPr>
        <w:t>am</w:t>
      </w:r>
      <w:r w:rsidR="00E04CBE" w:rsidRPr="00C01B6C">
        <w:rPr>
          <w:rFonts w:ascii="Franklin Gothic Book" w:hAnsi="Franklin Gothic Book" w:cstheme="minorBidi"/>
          <w:b/>
          <w:i/>
          <w:color w:val="538135" w:themeColor="accent6" w:themeShade="BF"/>
          <w:sz w:val="21"/>
          <w:szCs w:val="21"/>
        </w:rPr>
        <w:t>|</w:t>
      </w:r>
      <w:r w:rsidR="00E04CBE" w:rsidRPr="00C01B6C">
        <w:rPr>
          <w:rFonts w:ascii="Franklin Gothic Book" w:hAnsi="Franklin Gothic Book" w:cstheme="minorBidi"/>
          <w:i/>
          <w:sz w:val="21"/>
          <w:szCs w:val="21"/>
        </w:rPr>
        <w:t xml:space="preserve"> Event will run from 8:30</w:t>
      </w:r>
      <w:r w:rsidR="00C92860">
        <w:rPr>
          <w:rFonts w:ascii="Franklin Gothic Book" w:hAnsi="Franklin Gothic Book" w:cstheme="minorBidi"/>
          <w:i/>
          <w:sz w:val="21"/>
          <w:szCs w:val="21"/>
        </w:rPr>
        <w:t xml:space="preserve"> </w:t>
      </w:r>
      <w:r w:rsidR="00E04CBE" w:rsidRPr="00C01B6C">
        <w:rPr>
          <w:rFonts w:ascii="Franklin Gothic Book" w:hAnsi="Franklin Gothic Book" w:cstheme="minorBidi"/>
          <w:i/>
          <w:sz w:val="21"/>
          <w:szCs w:val="21"/>
        </w:rPr>
        <w:t>am-4:00</w:t>
      </w:r>
      <w:r w:rsidR="00C92860">
        <w:rPr>
          <w:rFonts w:ascii="Franklin Gothic Book" w:hAnsi="Franklin Gothic Book" w:cstheme="minorBidi"/>
          <w:i/>
          <w:sz w:val="21"/>
          <w:szCs w:val="21"/>
        </w:rPr>
        <w:t xml:space="preserve"> </w:t>
      </w:r>
      <w:r w:rsidR="00E04CBE" w:rsidRPr="00C01B6C">
        <w:rPr>
          <w:rFonts w:ascii="Franklin Gothic Book" w:hAnsi="Franklin Gothic Book" w:cstheme="minorBidi"/>
          <w:i/>
          <w:sz w:val="21"/>
          <w:szCs w:val="21"/>
        </w:rPr>
        <w:t>pm</w:t>
      </w:r>
    </w:p>
    <w:p w:rsidR="0058782A" w:rsidRPr="0096333D" w:rsidRDefault="0058782A" w:rsidP="00E12881">
      <w:pPr>
        <w:rPr>
          <w:rFonts w:ascii="Franklin Gothic Book" w:hAnsi="Franklin Gothic Book" w:cstheme="minorBidi"/>
          <w:sz w:val="24"/>
          <w:szCs w:val="24"/>
        </w:rPr>
      </w:pPr>
    </w:p>
    <w:p w:rsidR="00BA5FA1" w:rsidRPr="00BA5FA1" w:rsidRDefault="00BA5FA1" w:rsidP="0058782A">
      <w:pPr>
        <w:pStyle w:val="gmail-msonospacing"/>
        <w:jc w:val="both"/>
        <w:rPr>
          <w:rFonts w:asciiTheme="minorHAnsi" w:hAnsiTheme="minorHAnsi"/>
        </w:rPr>
      </w:pPr>
      <w:r w:rsidRPr="00BA5FA1">
        <w:rPr>
          <w:rFonts w:asciiTheme="minorHAnsi" w:hAnsiTheme="minorHAnsi"/>
        </w:rPr>
        <w:t>The TAPL Education Committ</w:t>
      </w:r>
      <w:r w:rsidR="00C92860">
        <w:rPr>
          <w:rFonts w:asciiTheme="minorHAnsi" w:hAnsiTheme="minorHAnsi"/>
        </w:rPr>
        <w:t>ee is proud to announce our 2018</w:t>
      </w:r>
      <w:r w:rsidRPr="00BA5FA1">
        <w:rPr>
          <w:rFonts w:asciiTheme="minorHAnsi" w:hAnsiTheme="minorHAnsi"/>
        </w:rPr>
        <w:t xml:space="preserve"> Spring Seminar. </w:t>
      </w:r>
      <w:r w:rsidRPr="00BA5FA1">
        <w:rPr>
          <w:rFonts w:asciiTheme="minorHAnsi" w:hAnsiTheme="minorHAnsi"/>
          <w:bCs/>
        </w:rPr>
        <w:t xml:space="preserve">We’ve selected an excellent array of speakers, each </w:t>
      </w:r>
      <w:r>
        <w:rPr>
          <w:rFonts w:asciiTheme="minorHAnsi" w:hAnsiTheme="minorHAnsi"/>
          <w:bCs/>
        </w:rPr>
        <w:t xml:space="preserve">a professional </w:t>
      </w:r>
      <w:r w:rsidRPr="00BA5FA1">
        <w:rPr>
          <w:rFonts w:asciiTheme="minorHAnsi" w:hAnsiTheme="minorHAnsi"/>
          <w:bCs/>
        </w:rPr>
        <w:t>well-versed in their respective area of expertise.</w:t>
      </w:r>
    </w:p>
    <w:p w:rsidR="0096333D" w:rsidRDefault="00BA5FA1" w:rsidP="00EC0E25">
      <w:pPr>
        <w:pBdr>
          <w:bottom w:val="single" w:sz="12" w:space="1" w:color="auto"/>
        </w:pBdr>
        <w:spacing w:before="100" w:beforeAutospacing="1" w:after="100" w:afterAutospacing="1"/>
        <w:jc w:val="both"/>
        <w:rPr>
          <w:rFonts w:asciiTheme="minorHAnsi" w:hAnsiTheme="minorHAnsi"/>
          <w:bCs/>
          <w:sz w:val="24"/>
          <w:szCs w:val="24"/>
        </w:rPr>
      </w:pPr>
      <w:r w:rsidRPr="00BA5FA1">
        <w:rPr>
          <w:rFonts w:asciiTheme="minorHAnsi" w:hAnsiTheme="minorHAnsi"/>
          <w:bCs/>
          <w:sz w:val="24"/>
          <w:szCs w:val="24"/>
        </w:rPr>
        <w:t xml:space="preserve">Our committee has worked hard on the behalf </w:t>
      </w:r>
      <w:r>
        <w:rPr>
          <w:rFonts w:asciiTheme="minorHAnsi" w:hAnsiTheme="minorHAnsi"/>
          <w:bCs/>
          <w:sz w:val="24"/>
          <w:szCs w:val="24"/>
        </w:rPr>
        <w:t>of our membership to secure a lineup</w:t>
      </w:r>
      <w:r w:rsidRPr="00BA5FA1">
        <w:rPr>
          <w:rFonts w:asciiTheme="minorHAnsi" w:hAnsiTheme="minorHAnsi"/>
          <w:bCs/>
          <w:sz w:val="24"/>
          <w:szCs w:val="24"/>
        </w:rPr>
        <w:t xml:space="preserve"> </w:t>
      </w:r>
      <w:r>
        <w:rPr>
          <w:rFonts w:asciiTheme="minorHAnsi" w:hAnsiTheme="minorHAnsi"/>
          <w:bCs/>
          <w:sz w:val="24"/>
          <w:szCs w:val="24"/>
        </w:rPr>
        <w:t xml:space="preserve">that we are confident will benefit the full spectrum of our </w:t>
      </w:r>
      <w:r w:rsidR="00EC0E25">
        <w:rPr>
          <w:rFonts w:asciiTheme="minorHAnsi" w:hAnsiTheme="minorHAnsi"/>
          <w:bCs/>
          <w:sz w:val="24"/>
          <w:szCs w:val="24"/>
        </w:rPr>
        <w:t>membership</w:t>
      </w:r>
      <w:r>
        <w:rPr>
          <w:rFonts w:asciiTheme="minorHAnsi" w:hAnsiTheme="minorHAnsi"/>
          <w:bCs/>
          <w:sz w:val="24"/>
          <w:szCs w:val="24"/>
        </w:rPr>
        <w:t xml:space="preserve">. </w:t>
      </w:r>
      <w:r w:rsidR="00DB01AD">
        <w:rPr>
          <w:rFonts w:asciiTheme="minorHAnsi" w:hAnsiTheme="minorHAnsi"/>
          <w:bCs/>
          <w:sz w:val="24"/>
          <w:szCs w:val="24"/>
        </w:rPr>
        <w:t>We</w:t>
      </w:r>
      <w:r w:rsidR="00E12881">
        <w:rPr>
          <w:rFonts w:asciiTheme="minorHAnsi" w:hAnsiTheme="minorHAnsi"/>
          <w:bCs/>
          <w:sz w:val="24"/>
          <w:szCs w:val="24"/>
        </w:rPr>
        <w:t xml:space="preserve"> have requested </w:t>
      </w:r>
      <w:r w:rsidR="00DB01AD">
        <w:rPr>
          <w:rFonts w:asciiTheme="minorHAnsi" w:hAnsiTheme="minorHAnsi"/>
          <w:bCs/>
          <w:sz w:val="24"/>
          <w:szCs w:val="24"/>
        </w:rPr>
        <w:t xml:space="preserve">approval from the AAPL for </w:t>
      </w:r>
      <w:r w:rsidR="00DB01AD" w:rsidRPr="00E12881">
        <w:rPr>
          <w:rFonts w:asciiTheme="minorHAnsi" w:hAnsiTheme="minorHAnsi"/>
          <w:bCs/>
          <w:sz w:val="24"/>
          <w:szCs w:val="24"/>
        </w:rPr>
        <w:t>6</w:t>
      </w:r>
      <w:r w:rsidR="00DB01AD">
        <w:rPr>
          <w:rFonts w:asciiTheme="minorHAnsi" w:hAnsiTheme="minorHAnsi"/>
          <w:bCs/>
          <w:sz w:val="24"/>
          <w:szCs w:val="24"/>
        </w:rPr>
        <w:t xml:space="preserve"> RL/RPL/CPL credit hours, including </w:t>
      </w:r>
      <w:r w:rsidR="00DB01AD" w:rsidRPr="00E12881">
        <w:rPr>
          <w:rFonts w:asciiTheme="minorHAnsi" w:hAnsiTheme="minorHAnsi"/>
          <w:bCs/>
          <w:sz w:val="24"/>
          <w:szCs w:val="24"/>
        </w:rPr>
        <w:t>1</w:t>
      </w:r>
      <w:r w:rsidR="00DB01AD">
        <w:rPr>
          <w:rFonts w:asciiTheme="minorHAnsi" w:hAnsiTheme="minorHAnsi"/>
          <w:bCs/>
          <w:sz w:val="24"/>
          <w:szCs w:val="24"/>
        </w:rPr>
        <w:t xml:space="preserve"> ethics credit</w:t>
      </w:r>
      <w:r w:rsidR="00EC0E25">
        <w:rPr>
          <w:rFonts w:asciiTheme="minorHAnsi" w:hAnsiTheme="minorHAnsi"/>
          <w:bCs/>
          <w:sz w:val="24"/>
          <w:szCs w:val="24"/>
        </w:rPr>
        <w:t xml:space="preserve"> as well as CLE credits</w:t>
      </w:r>
      <w:r w:rsidR="00DB01AD">
        <w:rPr>
          <w:rFonts w:asciiTheme="minorHAnsi" w:hAnsiTheme="minorHAnsi"/>
          <w:bCs/>
          <w:sz w:val="24"/>
          <w:szCs w:val="24"/>
        </w:rPr>
        <w:t xml:space="preserve"> from the </w:t>
      </w:r>
      <w:r w:rsidR="00EC0E25">
        <w:rPr>
          <w:rFonts w:asciiTheme="minorHAnsi" w:hAnsiTheme="minorHAnsi"/>
          <w:bCs/>
          <w:sz w:val="24"/>
          <w:szCs w:val="24"/>
        </w:rPr>
        <w:t>Oklahoma B</w:t>
      </w:r>
      <w:r w:rsidR="00DB01AD">
        <w:rPr>
          <w:rFonts w:asciiTheme="minorHAnsi" w:hAnsiTheme="minorHAnsi"/>
          <w:bCs/>
          <w:sz w:val="24"/>
          <w:szCs w:val="24"/>
        </w:rPr>
        <w:t>ar Association</w:t>
      </w:r>
      <w:r w:rsidR="0081086C">
        <w:rPr>
          <w:rFonts w:asciiTheme="minorHAnsi" w:hAnsiTheme="minorHAnsi"/>
          <w:bCs/>
          <w:sz w:val="24"/>
          <w:szCs w:val="24"/>
        </w:rPr>
        <w:t>.</w:t>
      </w:r>
    </w:p>
    <w:p w:rsidR="0096333D" w:rsidRPr="0096333D" w:rsidRDefault="00DB01AD" w:rsidP="0096333D">
      <w:pPr>
        <w:pBdr>
          <w:bottom w:val="single" w:sz="12" w:space="1" w:color="auto"/>
        </w:pBdr>
        <w:spacing w:before="100" w:beforeAutospacing="1" w:after="100" w:afterAutospacing="1"/>
        <w:jc w:val="both"/>
        <w:rPr>
          <w:rFonts w:asciiTheme="minorHAnsi" w:hAnsiTheme="minorHAnsi"/>
          <w:bCs/>
          <w:sz w:val="12"/>
          <w:szCs w:val="12"/>
        </w:rPr>
      </w:pPr>
      <w:r>
        <w:rPr>
          <w:rFonts w:asciiTheme="minorHAnsi" w:hAnsiTheme="minorHAnsi"/>
          <w:bCs/>
          <w:sz w:val="24"/>
          <w:szCs w:val="24"/>
        </w:rPr>
        <w:t xml:space="preserve"> </w:t>
      </w:r>
    </w:p>
    <w:p w:rsidR="00BA5FA1" w:rsidRDefault="0096333D" w:rsidP="00BA5FA1">
      <w:pPr>
        <w:spacing w:before="100" w:beforeAutospacing="1" w:after="100" w:afterAutospacing="1"/>
        <w:jc w:val="center"/>
        <w:rPr>
          <w:rFonts w:asciiTheme="minorHAnsi" w:hAnsiTheme="minorHAnsi"/>
          <w:b/>
          <w:bCs/>
          <w:color w:val="538135" w:themeColor="accent6" w:themeShade="BF"/>
          <w:sz w:val="24"/>
          <w:szCs w:val="24"/>
          <w:u w:val="single"/>
        </w:rPr>
      </w:pPr>
      <w:r>
        <w:rPr>
          <w:rFonts w:asciiTheme="minorHAnsi" w:hAnsiTheme="minorHAnsi"/>
          <w:b/>
          <w:bCs/>
          <w:color w:val="538135" w:themeColor="accent6" w:themeShade="BF"/>
          <w:sz w:val="24"/>
          <w:szCs w:val="24"/>
          <w:u w:val="single"/>
        </w:rPr>
        <w:t>EVENT SUMMARY</w:t>
      </w:r>
    </w:p>
    <w:p w:rsidR="00C92860" w:rsidRPr="00C92860" w:rsidRDefault="00C92860" w:rsidP="0058782A">
      <w:pPr>
        <w:spacing w:before="100" w:beforeAutospacing="1" w:after="100" w:afterAutospacing="1"/>
        <w:rPr>
          <w:rFonts w:asciiTheme="minorHAnsi" w:hAnsiTheme="minorHAnsi"/>
          <w:b/>
          <w:bCs/>
          <w:color w:val="538135" w:themeColor="accent6" w:themeShade="BF"/>
          <w:sz w:val="24"/>
          <w:szCs w:val="24"/>
        </w:rPr>
      </w:pPr>
      <w:r>
        <w:rPr>
          <w:rFonts w:asciiTheme="minorHAnsi" w:hAnsiTheme="minorHAnsi"/>
          <w:b/>
          <w:bCs/>
          <w:color w:val="538135" w:themeColor="accent6" w:themeShade="BF"/>
        </w:rPr>
        <w:t>8:00 am – 8:30 am:</w:t>
      </w:r>
      <w:r>
        <w:rPr>
          <w:rFonts w:asciiTheme="minorHAnsi" w:hAnsiTheme="minorHAnsi"/>
          <w:b/>
          <w:bCs/>
          <w:color w:val="538135" w:themeColor="accent6" w:themeShade="BF"/>
        </w:rPr>
        <w:tab/>
      </w:r>
      <w:r w:rsidRPr="00C92860">
        <w:rPr>
          <w:rFonts w:asciiTheme="minorHAnsi" w:hAnsiTheme="minorHAnsi"/>
          <w:b/>
          <w:bCs/>
          <w:sz w:val="24"/>
          <w:szCs w:val="24"/>
        </w:rPr>
        <w:t>REGISTRATION</w:t>
      </w:r>
      <w:r>
        <w:rPr>
          <w:rFonts w:asciiTheme="minorHAnsi" w:hAnsiTheme="minorHAnsi"/>
          <w:b/>
          <w:bCs/>
          <w:sz w:val="24"/>
          <w:szCs w:val="24"/>
        </w:rPr>
        <w:t xml:space="preserve"> (coffee &amp; donuts)</w:t>
      </w:r>
    </w:p>
    <w:p w:rsidR="0058782A" w:rsidRPr="009B5B45" w:rsidRDefault="0058782A" w:rsidP="0058782A">
      <w:pPr>
        <w:spacing w:before="100" w:beforeAutospacing="1" w:after="100" w:afterAutospacing="1"/>
        <w:rPr>
          <w:rFonts w:asciiTheme="minorHAnsi" w:hAnsiTheme="minorHAnsi"/>
          <w:b/>
          <w:bCs/>
          <w:color w:val="538135" w:themeColor="accent6" w:themeShade="BF"/>
          <w:sz w:val="24"/>
          <w:szCs w:val="24"/>
          <w:u w:val="single"/>
        </w:rPr>
      </w:pPr>
      <w:r w:rsidRPr="0058782A">
        <w:rPr>
          <w:rFonts w:asciiTheme="minorHAnsi" w:hAnsiTheme="minorHAnsi"/>
          <w:b/>
          <w:bCs/>
          <w:color w:val="538135" w:themeColor="accent6" w:themeShade="BF"/>
        </w:rPr>
        <w:t>8:30</w:t>
      </w:r>
      <w:r w:rsidR="00C92860">
        <w:rPr>
          <w:rFonts w:asciiTheme="minorHAnsi" w:hAnsiTheme="minorHAnsi"/>
          <w:b/>
          <w:bCs/>
          <w:color w:val="538135" w:themeColor="accent6" w:themeShade="BF"/>
        </w:rPr>
        <w:t xml:space="preserve"> am – 8:40 </w:t>
      </w:r>
      <w:r w:rsidRPr="0058782A">
        <w:rPr>
          <w:rFonts w:asciiTheme="minorHAnsi" w:hAnsiTheme="minorHAnsi"/>
          <w:b/>
          <w:bCs/>
          <w:color w:val="538135" w:themeColor="accent6" w:themeShade="BF"/>
        </w:rPr>
        <w:t>am</w:t>
      </w:r>
      <w:r w:rsidR="009B5B45" w:rsidRPr="009B5B45">
        <w:rPr>
          <w:rFonts w:asciiTheme="minorHAnsi" w:hAnsiTheme="minorHAnsi"/>
          <w:b/>
          <w:bCs/>
          <w:color w:val="538135" w:themeColor="accent6" w:themeShade="BF"/>
          <w:sz w:val="24"/>
          <w:szCs w:val="24"/>
        </w:rPr>
        <w:t xml:space="preserve">:  </w:t>
      </w:r>
      <w:r w:rsidRPr="009B5B45">
        <w:rPr>
          <w:rFonts w:asciiTheme="minorHAnsi" w:hAnsiTheme="minorHAnsi"/>
          <w:b/>
          <w:bCs/>
          <w:sz w:val="24"/>
          <w:szCs w:val="24"/>
        </w:rPr>
        <w:t xml:space="preserve"> </w:t>
      </w:r>
      <w:r w:rsidR="00C92860">
        <w:rPr>
          <w:rFonts w:asciiTheme="minorHAnsi" w:hAnsiTheme="minorHAnsi"/>
          <w:b/>
          <w:bCs/>
          <w:sz w:val="24"/>
          <w:szCs w:val="24"/>
        </w:rPr>
        <w:tab/>
      </w:r>
      <w:r w:rsidRPr="009B5B45">
        <w:rPr>
          <w:rFonts w:asciiTheme="minorHAnsi" w:hAnsiTheme="minorHAnsi"/>
          <w:b/>
          <w:bCs/>
          <w:sz w:val="24"/>
          <w:szCs w:val="24"/>
        </w:rPr>
        <w:t>WELCOME/ OPENING REMARKS</w:t>
      </w:r>
    </w:p>
    <w:p w:rsidR="00BA5FA1" w:rsidRPr="00BA5FA1" w:rsidRDefault="00C92860" w:rsidP="00BA5FA1">
      <w:pPr>
        <w:spacing w:before="100" w:beforeAutospacing="1" w:after="100" w:afterAutospacing="1"/>
        <w:rPr>
          <w:rFonts w:asciiTheme="minorHAnsi" w:hAnsiTheme="minorHAnsi"/>
        </w:rPr>
      </w:pPr>
      <w:r>
        <w:rPr>
          <w:rFonts w:asciiTheme="minorHAnsi" w:hAnsiTheme="minorHAnsi"/>
          <w:b/>
          <w:bCs/>
          <w:color w:val="538135" w:themeColor="accent6" w:themeShade="BF"/>
        </w:rPr>
        <w:t xml:space="preserve">8:40 </w:t>
      </w:r>
      <w:r w:rsidR="00BA5FA1" w:rsidRPr="00E04CBE">
        <w:rPr>
          <w:rFonts w:asciiTheme="minorHAnsi" w:hAnsiTheme="minorHAnsi"/>
          <w:b/>
          <w:bCs/>
          <w:color w:val="538135" w:themeColor="accent6" w:themeShade="BF"/>
        </w:rPr>
        <w:t>am</w:t>
      </w:r>
      <w:r w:rsidR="00E04CBE">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w:t>
      </w:r>
      <w:r w:rsidR="00E04CBE">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9:45</w:t>
      </w:r>
      <w:r>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am</w:t>
      </w:r>
      <w:r w:rsidR="009B5B45">
        <w:rPr>
          <w:rFonts w:asciiTheme="minorHAnsi" w:hAnsiTheme="minorHAnsi"/>
          <w:b/>
          <w:bCs/>
          <w:color w:val="538135" w:themeColor="accent6" w:themeShade="BF"/>
        </w:rPr>
        <w:t>:</w:t>
      </w:r>
      <w:r w:rsidR="00BA5FA1" w:rsidRPr="00E04CBE">
        <w:rPr>
          <w:rFonts w:asciiTheme="minorHAnsi" w:hAnsiTheme="minorHAnsi"/>
          <w:color w:val="538135" w:themeColor="accent6" w:themeShade="BF"/>
        </w:rPr>
        <w:t xml:space="preserve"> </w:t>
      </w:r>
      <w:r w:rsidR="00BA5FA1" w:rsidRPr="00BA5FA1">
        <w:rPr>
          <w:rFonts w:asciiTheme="minorHAnsi" w:hAnsiTheme="minorHAnsi"/>
        </w:rPr>
        <w:t xml:space="preserve"> </w:t>
      </w:r>
      <w:r>
        <w:rPr>
          <w:rFonts w:asciiTheme="minorHAnsi" w:hAnsiTheme="minorHAnsi"/>
        </w:rPr>
        <w:tab/>
      </w:r>
      <w:r w:rsidR="006710E3">
        <w:rPr>
          <w:rFonts w:asciiTheme="minorHAnsi" w:hAnsiTheme="minorHAnsi"/>
          <w:b/>
          <w:sz w:val="24"/>
          <w:szCs w:val="24"/>
        </w:rPr>
        <w:t>HOT TOPICS IN BIA/BLM REGULATIONS</w:t>
      </w:r>
    </w:p>
    <w:p w:rsidR="00E04CBE" w:rsidRDefault="00480660" w:rsidP="00A93145">
      <w:pPr>
        <w:ind w:left="2160"/>
        <w:jc w:val="both"/>
      </w:pPr>
      <w:r>
        <w:t>Rea</w:t>
      </w:r>
      <w:r w:rsidR="00D8044D">
        <w:t xml:space="preserve">gan Smith Energy Solutions will </w:t>
      </w:r>
      <w:r>
        <w:t>provide</w:t>
      </w:r>
      <w:r w:rsidR="00A93145">
        <w:t xml:space="preserve"> three</w:t>
      </w:r>
      <w:r w:rsidR="00D8044D">
        <w:t xml:space="preserve"> of their experts,</w:t>
      </w:r>
      <w:r w:rsidR="00BA5FA1" w:rsidRPr="00BA5FA1">
        <w:t xml:space="preserve"> </w:t>
      </w:r>
      <w:r w:rsidR="006710E3" w:rsidRPr="006710E3">
        <w:rPr>
          <w:color w:val="2E74B5" w:themeColor="accent1" w:themeShade="BF"/>
        </w:rPr>
        <w:t>Monica M. Griffin</w:t>
      </w:r>
      <w:r w:rsidR="006710E3">
        <w:t xml:space="preserve">, President &amp; CEO, </w:t>
      </w:r>
      <w:r w:rsidR="007C7F49" w:rsidRPr="00E56AF9">
        <w:rPr>
          <w:color w:val="2E74B5" w:themeColor="accent1" w:themeShade="BF"/>
        </w:rPr>
        <w:t>Scott St. John</w:t>
      </w:r>
      <w:r w:rsidR="007C7F49">
        <w:t xml:space="preserve">, VP of </w:t>
      </w:r>
      <w:r w:rsidR="00A93145">
        <w:t>Environ</w:t>
      </w:r>
      <w:r w:rsidR="006710E3">
        <w:t>mental Compliance &amp; Engineering and</w:t>
      </w:r>
      <w:r w:rsidR="00A93145">
        <w:t xml:space="preserve"> </w:t>
      </w:r>
      <w:r w:rsidR="00A93145" w:rsidRPr="00A93145">
        <w:rPr>
          <w:color w:val="2E74B5" w:themeColor="accent1" w:themeShade="BF"/>
        </w:rPr>
        <w:t>Jennifer</w:t>
      </w:r>
      <w:r w:rsidR="006710E3">
        <w:rPr>
          <w:color w:val="2E74B5" w:themeColor="accent1" w:themeShade="BF"/>
        </w:rPr>
        <w:t xml:space="preserve"> E.</w:t>
      </w:r>
      <w:r w:rsidR="00A93145" w:rsidRPr="00A93145">
        <w:rPr>
          <w:color w:val="2E74B5" w:themeColor="accent1" w:themeShade="BF"/>
        </w:rPr>
        <w:t xml:space="preserve"> Krieg</w:t>
      </w:r>
      <w:r w:rsidR="00A93145">
        <w:t xml:space="preserve">, VP </w:t>
      </w:r>
      <w:r w:rsidR="006710E3">
        <w:t xml:space="preserve">of Land &amp; Regulatory Compliance will update membership on several of the recent hot topics and developments regarding BIA and BLM regulations </w:t>
      </w:r>
      <w:r w:rsidR="00F769B2">
        <w:t>such as possible changes in Five Civilized Tribe leasing, BLM leasing, BLM logging and BOP requirements.</w:t>
      </w:r>
    </w:p>
    <w:p w:rsidR="00E04CBE" w:rsidRPr="00BA5FA1" w:rsidRDefault="00E04CBE" w:rsidP="0058782A">
      <w:pPr>
        <w:pStyle w:val="NoSpacing"/>
      </w:pPr>
    </w:p>
    <w:p w:rsidR="00BA5FA1" w:rsidRPr="00BA5FA1" w:rsidRDefault="00E04CBE" w:rsidP="0058782A">
      <w:pPr>
        <w:pStyle w:val="NoSpacing"/>
        <w:rPr>
          <w:rFonts w:asciiTheme="minorHAnsi" w:hAnsiTheme="minorHAnsi"/>
        </w:rPr>
      </w:pPr>
      <w:r w:rsidRPr="00E04CBE">
        <w:rPr>
          <w:rFonts w:asciiTheme="minorHAnsi" w:hAnsiTheme="minorHAnsi"/>
          <w:b/>
          <w:bCs/>
          <w:color w:val="538135" w:themeColor="accent6" w:themeShade="BF"/>
        </w:rPr>
        <w:t>10:00</w:t>
      </w:r>
      <w:r w:rsidR="00C92860">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am</w:t>
      </w:r>
      <w:r>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w:t>
      </w:r>
      <w:r>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11:0</w:t>
      </w:r>
      <w:r w:rsidR="00BA5FA1" w:rsidRPr="00E04CBE">
        <w:rPr>
          <w:rFonts w:asciiTheme="minorHAnsi" w:hAnsiTheme="minorHAnsi"/>
          <w:b/>
          <w:bCs/>
          <w:color w:val="538135" w:themeColor="accent6" w:themeShade="BF"/>
        </w:rPr>
        <w:t>0</w:t>
      </w:r>
      <w:r w:rsidR="00C92860">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am</w:t>
      </w:r>
      <w:r w:rsidR="00C92860">
        <w:rPr>
          <w:rFonts w:asciiTheme="minorHAnsi" w:hAnsiTheme="minorHAnsi"/>
          <w:b/>
          <w:bCs/>
          <w:color w:val="538135" w:themeColor="accent6" w:themeShade="BF"/>
        </w:rPr>
        <w:t>:</w:t>
      </w:r>
      <w:r w:rsidR="00BA5FA1" w:rsidRPr="00E04CBE">
        <w:rPr>
          <w:rFonts w:asciiTheme="minorHAnsi" w:hAnsiTheme="minorHAnsi"/>
          <w:color w:val="538135" w:themeColor="accent6" w:themeShade="BF"/>
        </w:rPr>
        <w:t xml:space="preserve"> </w:t>
      </w:r>
      <w:r w:rsidR="00C92860">
        <w:rPr>
          <w:rFonts w:asciiTheme="minorHAnsi" w:hAnsiTheme="minorHAnsi"/>
        </w:rPr>
        <w:tab/>
      </w:r>
      <w:r w:rsidR="00C92860">
        <w:rPr>
          <w:rFonts w:asciiTheme="minorHAnsi" w:hAnsiTheme="minorHAnsi"/>
          <w:b/>
          <w:bCs/>
          <w:sz w:val="24"/>
          <w:szCs w:val="24"/>
        </w:rPr>
        <w:t>OK &amp; TX REGULATORY COMPARISON (Allocation wells, multiunits)</w:t>
      </w:r>
      <w:r w:rsidR="00BA5FA1" w:rsidRPr="009B5B45">
        <w:rPr>
          <w:rFonts w:asciiTheme="minorHAnsi" w:hAnsiTheme="minorHAnsi"/>
          <w:sz w:val="24"/>
          <w:szCs w:val="24"/>
        </w:rPr>
        <w:t xml:space="preserve"> </w:t>
      </w:r>
    </w:p>
    <w:p w:rsidR="00802009" w:rsidRPr="00482FCF" w:rsidRDefault="00482FCF" w:rsidP="00482FCF">
      <w:pPr>
        <w:spacing w:before="100" w:beforeAutospacing="1" w:after="100" w:afterAutospacing="1"/>
        <w:ind w:left="2160"/>
        <w:rPr>
          <w:rFonts w:ascii="Times New Roman" w:hAnsi="Times New Roman"/>
        </w:rPr>
      </w:pPr>
      <w:r>
        <w:rPr>
          <w:rFonts w:asciiTheme="minorHAnsi" w:hAnsiTheme="minorHAnsi" w:cstheme="minorHAnsi"/>
          <w:color w:val="2E74B5"/>
        </w:rPr>
        <w:t xml:space="preserve">Benjamin Holliday, J.D./MA </w:t>
      </w:r>
      <w:r>
        <w:t xml:space="preserve">will provide attendees with an overview of Oklahoma’s Forced Pooling and a more in-depth discussion of Texas’ Allocation Wells as a means for comparing and contrasting these regulatory approaches to maximizing hydrocarbon recovery. Ben will review the contentious history of Allocation Wells in Texas, the mechanics of their use, and highlight the main issues surrounding their unsettled legal status. </w:t>
      </w:r>
      <w:bookmarkStart w:id="0" w:name="_GoBack"/>
      <w:bookmarkEnd w:id="0"/>
    </w:p>
    <w:p w:rsidR="00A93145" w:rsidRPr="00A93145" w:rsidRDefault="00BA5FA1" w:rsidP="00A93145">
      <w:pPr>
        <w:spacing w:before="100" w:beforeAutospacing="1" w:after="100" w:afterAutospacing="1"/>
        <w:rPr>
          <w:rFonts w:asciiTheme="minorHAnsi" w:hAnsiTheme="minorHAnsi"/>
          <w:b/>
          <w:bCs/>
        </w:rPr>
      </w:pPr>
      <w:r w:rsidRPr="00E04CBE">
        <w:rPr>
          <w:rFonts w:asciiTheme="minorHAnsi" w:hAnsiTheme="minorHAnsi"/>
          <w:b/>
          <w:bCs/>
          <w:color w:val="538135" w:themeColor="accent6" w:themeShade="BF"/>
        </w:rPr>
        <w:t>11:00</w:t>
      </w:r>
      <w:r w:rsidR="001B7238">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am</w:t>
      </w:r>
      <w:r w:rsidR="00E04CBE" w:rsidRPr="00E04CBE">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w:t>
      </w:r>
      <w:r w:rsidR="00E04CBE" w:rsidRPr="00E04CBE">
        <w:rPr>
          <w:rFonts w:asciiTheme="minorHAnsi" w:hAnsiTheme="minorHAnsi"/>
          <w:b/>
          <w:bCs/>
          <w:color w:val="538135" w:themeColor="accent6" w:themeShade="BF"/>
        </w:rPr>
        <w:t xml:space="preserve"> </w:t>
      </w:r>
      <w:r w:rsidR="0081086C" w:rsidRPr="00E04CBE">
        <w:rPr>
          <w:rFonts w:asciiTheme="minorHAnsi" w:hAnsiTheme="minorHAnsi"/>
          <w:b/>
          <w:bCs/>
          <w:color w:val="538135" w:themeColor="accent6" w:themeShade="BF"/>
        </w:rPr>
        <w:t>12:00</w:t>
      </w:r>
      <w:r w:rsidR="001B7238">
        <w:rPr>
          <w:rFonts w:asciiTheme="minorHAnsi" w:hAnsiTheme="minorHAnsi"/>
          <w:b/>
          <w:bCs/>
          <w:color w:val="538135" w:themeColor="accent6" w:themeShade="BF"/>
        </w:rPr>
        <w:t xml:space="preserve"> </w:t>
      </w:r>
      <w:r w:rsidR="0081086C" w:rsidRPr="00E04CBE">
        <w:rPr>
          <w:rFonts w:asciiTheme="minorHAnsi" w:hAnsiTheme="minorHAnsi"/>
          <w:b/>
          <w:bCs/>
          <w:color w:val="538135" w:themeColor="accent6" w:themeShade="BF"/>
        </w:rPr>
        <w:t>pm</w:t>
      </w:r>
      <w:r w:rsidR="0081086C">
        <w:rPr>
          <w:rFonts w:asciiTheme="minorHAnsi" w:hAnsiTheme="minorHAnsi"/>
          <w:b/>
          <w:bCs/>
        </w:rPr>
        <w:t>:  </w:t>
      </w:r>
      <w:r w:rsidR="00A93145">
        <w:rPr>
          <w:rFonts w:asciiTheme="minorHAnsi" w:hAnsiTheme="minorHAnsi"/>
          <w:b/>
          <w:bCs/>
        </w:rPr>
        <w:tab/>
      </w:r>
      <w:r w:rsidR="00A93145">
        <w:rPr>
          <w:rFonts w:asciiTheme="minorHAnsi" w:hAnsiTheme="minorHAnsi"/>
          <w:b/>
          <w:bCs/>
          <w:sz w:val="24"/>
          <w:szCs w:val="24"/>
        </w:rPr>
        <w:t>ADVANCED TITLE ISSUES PANEL</w:t>
      </w:r>
    </w:p>
    <w:p w:rsidR="00A93145" w:rsidRPr="001B7238" w:rsidRDefault="00A93145" w:rsidP="00A93145">
      <w:pPr>
        <w:pStyle w:val="ListParagraph"/>
        <w:numPr>
          <w:ilvl w:val="0"/>
          <w:numId w:val="2"/>
        </w:numPr>
        <w:spacing w:after="0" w:line="240" w:lineRule="auto"/>
      </w:pPr>
      <w:r w:rsidRPr="001B7238">
        <w:t>Kaycee Spears Boren – Attorney at Pray Walker, P.C.</w:t>
      </w:r>
    </w:p>
    <w:p w:rsidR="00A93145" w:rsidRPr="001B7238" w:rsidRDefault="00A93145" w:rsidP="00A93145">
      <w:pPr>
        <w:pStyle w:val="ListParagraph"/>
        <w:numPr>
          <w:ilvl w:val="0"/>
          <w:numId w:val="2"/>
        </w:numPr>
        <w:spacing w:after="0" w:line="240" w:lineRule="auto"/>
      </w:pPr>
      <w:r w:rsidRPr="001B7238">
        <w:t>Faith Orlowski – Attorney at Moyers Martin LLP</w:t>
      </w:r>
    </w:p>
    <w:p w:rsidR="00A93145" w:rsidRPr="001B7238" w:rsidRDefault="00A93145" w:rsidP="00A93145">
      <w:pPr>
        <w:pStyle w:val="ListParagraph"/>
        <w:numPr>
          <w:ilvl w:val="0"/>
          <w:numId w:val="2"/>
        </w:numPr>
        <w:spacing w:after="0" w:line="240" w:lineRule="auto"/>
      </w:pPr>
      <w:r w:rsidRPr="001B7238">
        <w:t>Jacob Charney – Attorney at Charney</w:t>
      </w:r>
      <w:r w:rsidRPr="001B7238">
        <w:rPr>
          <w:rFonts w:cs="Times New Roman"/>
        </w:rPr>
        <w:t>|</w:t>
      </w:r>
      <w:r w:rsidRPr="001B7238">
        <w:t>Brown LLC</w:t>
      </w:r>
    </w:p>
    <w:p w:rsidR="00A93145" w:rsidRPr="001B7238" w:rsidRDefault="00A93145" w:rsidP="00A93145">
      <w:pPr>
        <w:pStyle w:val="ListParagraph"/>
        <w:numPr>
          <w:ilvl w:val="0"/>
          <w:numId w:val="2"/>
        </w:numPr>
        <w:spacing w:after="0" w:line="240" w:lineRule="auto"/>
      </w:pPr>
      <w:r w:rsidRPr="001B7238">
        <w:t>Rami Jabara – Of Counsel at Charney</w:t>
      </w:r>
      <w:r w:rsidRPr="001B7238">
        <w:rPr>
          <w:rFonts w:cs="Times New Roman"/>
        </w:rPr>
        <w:t>|</w:t>
      </w:r>
      <w:r w:rsidRPr="001B7238">
        <w:t>Brown LLC</w:t>
      </w:r>
    </w:p>
    <w:p w:rsidR="00A93145" w:rsidRPr="001B7238" w:rsidRDefault="00A93145" w:rsidP="00A93145"/>
    <w:p w:rsidR="00A93145" w:rsidRPr="001B7238" w:rsidRDefault="00A93145" w:rsidP="001B7238">
      <w:pPr>
        <w:ind w:left="2160"/>
        <w:jc w:val="both"/>
        <w:rPr>
          <w:rFonts w:asciiTheme="minorHAnsi" w:hAnsiTheme="minorHAnsi"/>
        </w:rPr>
      </w:pPr>
      <w:r w:rsidRPr="001B7238">
        <w:t xml:space="preserve">Oil and gas title opinions have continued to become more complex over time. TAPL’s education committee has gathered a panel of experienced title attorneys to discuss some of the more perplexing issues that have become increasingly prevalent in the scope of mineral title examination. The first segment of our panel will provide an overview of some challenging topics as well as the related legal questions that remain unanswered by the Oklahoma Supreme Court. Why are leasehold rights affected in the context of river units? </w:t>
      </w:r>
      <w:r w:rsidRPr="001B7238">
        <w:lastRenderedPageBreak/>
        <w:t>How is ownership allocated in the presence of a railroad? The panel will also touch on some of the more difficult questions surrounding multi-section units at the time a division order opinion is rendered. The floor will then be open to any title related questions for our panelists.</w:t>
      </w:r>
    </w:p>
    <w:p w:rsidR="00E04CBE" w:rsidRPr="00E04CBE" w:rsidRDefault="00E04CBE" w:rsidP="00A916AD">
      <w:pPr>
        <w:spacing w:before="100" w:beforeAutospacing="1" w:after="100" w:afterAutospacing="1"/>
        <w:rPr>
          <w:rFonts w:asciiTheme="minorHAnsi" w:hAnsiTheme="minorHAnsi"/>
          <w:b/>
        </w:rPr>
      </w:pPr>
      <w:r w:rsidRPr="00E04CBE">
        <w:rPr>
          <w:rFonts w:asciiTheme="minorHAnsi" w:hAnsiTheme="minorHAnsi"/>
          <w:b/>
          <w:color w:val="538135" w:themeColor="accent6" w:themeShade="BF"/>
        </w:rPr>
        <w:t>12:00</w:t>
      </w:r>
      <w:r w:rsidR="001B7238">
        <w:rPr>
          <w:rFonts w:asciiTheme="minorHAnsi" w:hAnsiTheme="minorHAnsi"/>
          <w:b/>
          <w:color w:val="538135" w:themeColor="accent6" w:themeShade="BF"/>
        </w:rPr>
        <w:t xml:space="preserve"> </w:t>
      </w:r>
      <w:r w:rsidRPr="00E04CBE">
        <w:rPr>
          <w:rFonts w:asciiTheme="minorHAnsi" w:hAnsiTheme="minorHAnsi"/>
          <w:b/>
          <w:color w:val="538135" w:themeColor="accent6" w:themeShade="BF"/>
        </w:rPr>
        <w:t>pm - 1:00</w:t>
      </w:r>
      <w:r w:rsidR="001B7238">
        <w:rPr>
          <w:rFonts w:asciiTheme="minorHAnsi" w:hAnsiTheme="minorHAnsi"/>
          <w:b/>
          <w:color w:val="538135" w:themeColor="accent6" w:themeShade="BF"/>
        </w:rPr>
        <w:t xml:space="preserve"> </w:t>
      </w:r>
      <w:r w:rsidRPr="00E04CBE">
        <w:rPr>
          <w:rFonts w:asciiTheme="minorHAnsi" w:hAnsiTheme="minorHAnsi"/>
          <w:b/>
          <w:color w:val="538135" w:themeColor="accent6" w:themeShade="BF"/>
        </w:rPr>
        <w:t>pm</w:t>
      </w:r>
      <w:r w:rsidR="001B7238">
        <w:rPr>
          <w:rFonts w:asciiTheme="minorHAnsi" w:hAnsiTheme="minorHAnsi"/>
          <w:b/>
          <w:color w:val="538135" w:themeColor="accent6" w:themeShade="BF"/>
        </w:rPr>
        <w:t>:</w:t>
      </w:r>
      <w:r w:rsidRPr="00E04CBE">
        <w:rPr>
          <w:rFonts w:asciiTheme="minorHAnsi" w:hAnsiTheme="minorHAnsi"/>
          <w:b/>
          <w:color w:val="538135" w:themeColor="accent6" w:themeShade="BF"/>
        </w:rPr>
        <w:t xml:space="preserve"> </w:t>
      </w:r>
      <w:r>
        <w:rPr>
          <w:rFonts w:asciiTheme="minorHAnsi" w:hAnsiTheme="minorHAnsi"/>
          <w:b/>
        </w:rPr>
        <w:t xml:space="preserve"> </w:t>
      </w:r>
      <w:r w:rsidR="001B7238">
        <w:rPr>
          <w:rFonts w:asciiTheme="minorHAnsi" w:hAnsiTheme="minorHAnsi"/>
          <w:b/>
        </w:rPr>
        <w:tab/>
      </w:r>
      <w:r w:rsidRPr="009B5B45">
        <w:rPr>
          <w:rFonts w:asciiTheme="minorHAnsi" w:hAnsiTheme="minorHAnsi"/>
          <w:b/>
          <w:sz w:val="24"/>
          <w:szCs w:val="24"/>
        </w:rPr>
        <w:t>CATERED LUNCH</w:t>
      </w:r>
      <w:r w:rsidR="001B7238">
        <w:rPr>
          <w:rFonts w:asciiTheme="minorHAnsi" w:hAnsiTheme="minorHAnsi"/>
          <w:b/>
          <w:sz w:val="24"/>
          <w:szCs w:val="24"/>
        </w:rPr>
        <w:t xml:space="preserve"> (Lambruzco’z box lunch)</w:t>
      </w:r>
    </w:p>
    <w:p w:rsidR="00BA5FA1" w:rsidRPr="009B5B45" w:rsidRDefault="00BA5FA1" w:rsidP="009B5B45">
      <w:pPr>
        <w:pStyle w:val="NoSpacing"/>
        <w:rPr>
          <w:color w:val="538135" w:themeColor="accent6" w:themeShade="BF"/>
        </w:rPr>
      </w:pPr>
      <w:r w:rsidRPr="009B5B45">
        <w:rPr>
          <w:b/>
          <w:color w:val="538135" w:themeColor="accent6" w:themeShade="BF"/>
        </w:rPr>
        <w:t>1:00</w:t>
      </w:r>
      <w:r w:rsidR="001B7238">
        <w:rPr>
          <w:b/>
          <w:color w:val="538135" w:themeColor="accent6" w:themeShade="BF"/>
        </w:rPr>
        <w:t xml:space="preserve"> </w:t>
      </w:r>
      <w:r w:rsidRPr="009B5B45">
        <w:rPr>
          <w:b/>
          <w:color w:val="538135" w:themeColor="accent6" w:themeShade="BF"/>
        </w:rPr>
        <w:t>pm</w:t>
      </w:r>
      <w:r w:rsidR="00E04CBE" w:rsidRPr="009B5B45">
        <w:rPr>
          <w:b/>
          <w:color w:val="538135" w:themeColor="accent6" w:themeShade="BF"/>
        </w:rPr>
        <w:t xml:space="preserve"> </w:t>
      </w:r>
      <w:r w:rsidR="001B7238">
        <w:rPr>
          <w:b/>
          <w:color w:val="538135" w:themeColor="accent6" w:themeShade="BF"/>
        </w:rPr>
        <w:t>–</w:t>
      </w:r>
      <w:r w:rsidR="009B5B45" w:rsidRPr="009B5B45">
        <w:rPr>
          <w:b/>
          <w:color w:val="538135" w:themeColor="accent6" w:themeShade="BF"/>
        </w:rPr>
        <w:t xml:space="preserve"> </w:t>
      </w:r>
      <w:r w:rsidR="001B7238">
        <w:rPr>
          <w:b/>
          <w:color w:val="538135" w:themeColor="accent6" w:themeShade="BF"/>
        </w:rPr>
        <w:t>1:45 pm</w:t>
      </w:r>
      <w:r w:rsidR="009B5B45">
        <w:rPr>
          <w:b/>
          <w:color w:val="538135" w:themeColor="accent6" w:themeShade="BF"/>
        </w:rPr>
        <w:t>:</w:t>
      </w:r>
      <w:r w:rsidR="001B7238">
        <w:rPr>
          <w:b/>
          <w:color w:val="538135" w:themeColor="accent6" w:themeShade="BF"/>
        </w:rPr>
        <w:tab/>
      </w:r>
      <w:r w:rsidR="001B7238">
        <w:rPr>
          <w:b/>
          <w:sz w:val="24"/>
          <w:szCs w:val="24"/>
        </w:rPr>
        <w:t>SENATE BILL 867</w:t>
      </w:r>
      <w:r w:rsidR="009B5B45" w:rsidRPr="009B5B45">
        <w:rPr>
          <w:b/>
          <w:sz w:val="24"/>
          <w:szCs w:val="24"/>
        </w:rPr>
        <w:t xml:space="preserve"> </w:t>
      </w:r>
    </w:p>
    <w:p w:rsidR="009B5B45" w:rsidRPr="00BA5FA1" w:rsidRDefault="009B5B45" w:rsidP="009B5B45">
      <w:pPr>
        <w:pStyle w:val="NoSpacing"/>
      </w:pPr>
    </w:p>
    <w:p w:rsidR="009B5B45" w:rsidRPr="001B7238" w:rsidRDefault="00D84D3C" w:rsidP="001B7238">
      <w:pPr>
        <w:pStyle w:val="NoSpacing"/>
        <w:ind w:left="2160"/>
        <w:jc w:val="both"/>
      </w:pPr>
      <w:r w:rsidRPr="00D84D3C">
        <w:rPr>
          <w:color w:val="2E74B5" w:themeColor="accent1" w:themeShade="BF"/>
        </w:rPr>
        <w:t xml:space="preserve">Ben Brown, Esq. </w:t>
      </w:r>
      <w:r>
        <w:t xml:space="preserve">with Charney/Brown, LLC and </w:t>
      </w:r>
      <w:r w:rsidRPr="00D84D3C">
        <w:rPr>
          <w:color w:val="2E74B5" w:themeColor="accent1" w:themeShade="BF"/>
        </w:rPr>
        <w:t xml:space="preserve">John Chandler, Esq. </w:t>
      </w:r>
      <w:r>
        <w:t xml:space="preserve">with Michael D. </w:t>
      </w:r>
      <w:r w:rsidR="003C1D8D">
        <w:t>Stack, PC will walk us through the new Senate Bill 867 legislation and the new statutes impact on OCC filings.  In particular, Ben and John will provide an overview of the new statute and compare and contrast the new rules vs. how things were done previously.</w:t>
      </w:r>
    </w:p>
    <w:p w:rsidR="00515C0E" w:rsidRDefault="00D84D3C" w:rsidP="00BA5FA1">
      <w:pPr>
        <w:spacing w:before="100" w:beforeAutospacing="1" w:after="100" w:afterAutospacing="1"/>
        <w:rPr>
          <w:rFonts w:asciiTheme="minorHAnsi" w:hAnsiTheme="minorHAnsi"/>
          <w:b/>
          <w:bCs/>
          <w:color w:val="538135" w:themeColor="accent6" w:themeShade="BF"/>
        </w:rPr>
      </w:pPr>
      <w:r>
        <w:rPr>
          <w:rFonts w:asciiTheme="minorHAnsi" w:hAnsiTheme="minorHAnsi"/>
          <w:b/>
          <w:bCs/>
          <w:color w:val="538135" w:themeColor="accent6" w:themeShade="BF"/>
        </w:rPr>
        <w:t>2</w:t>
      </w:r>
      <w:r w:rsidR="00E04CBE" w:rsidRPr="00E04CBE">
        <w:rPr>
          <w:rFonts w:asciiTheme="minorHAnsi" w:hAnsiTheme="minorHAnsi"/>
          <w:b/>
          <w:bCs/>
          <w:color w:val="538135" w:themeColor="accent6" w:themeShade="BF"/>
        </w:rPr>
        <w:t>:00</w:t>
      </w:r>
      <w:r>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pm</w:t>
      </w:r>
      <w:r>
        <w:rPr>
          <w:rFonts w:asciiTheme="minorHAnsi" w:hAnsiTheme="minorHAnsi"/>
          <w:b/>
          <w:bCs/>
          <w:color w:val="538135" w:themeColor="accent6" w:themeShade="BF"/>
        </w:rPr>
        <w:t xml:space="preserve"> - 3:00pm:</w:t>
      </w:r>
      <w:r>
        <w:rPr>
          <w:rFonts w:asciiTheme="minorHAnsi" w:hAnsiTheme="minorHAnsi"/>
          <w:b/>
          <w:bCs/>
          <w:color w:val="538135" w:themeColor="accent6" w:themeShade="BF"/>
        </w:rPr>
        <w:tab/>
        <w:t xml:space="preserve"> </w:t>
      </w:r>
      <w:r w:rsidR="00515C0E" w:rsidRPr="006710E3">
        <w:rPr>
          <w:rFonts w:asciiTheme="minorHAnsi" w:hAnsiTheme="minorHAnsi"/>
          <w:b/>
          <w:bCs/>
        </w:rPr>
        <w:t>PRODUCTION IN PAYING QUANTITIES</w:t>
      </w:r>
    </w:p>
    <w:p w:rsidR="003E47A2" w:rsidRPr="003E47A2" w:rsidRDefault="003E47A2" w:rsidP="003E47A2">
      <w:pPr>
        <w:spacing w:before="100" w:beforeAutospacing="1" w:after="100" w:afterAutospacing="1"/>
        <w:ind w:left="2160"/>
        <w:rPr>
          <w:rFonts w:asciiTheme="minorHAnsi" w:hAnsiTheme="minorHAnsi" w:cstheme="minorHAnsi"/>
          <w:color w:val="1F497D"/>
        </w:rPr>
      </w:pPr>
      <w:r w:rsidRPr="003E47A2">
        <w:rPr>
          <w:rFonts w:asciiTheme="minorHAnsi" w:hAnsiTheme="minorHAnsi" w:cstheme="minorHAnsi"/>
          <w:color w:val="2E74B5"/>
        </w:rPr>
        <w:t xml:space="preserve">Keith Needham, CPL/J.D./MBA </w:t>
      </w:r>
      <w:r w:rsidRPr="003E47A2">
        <w:rPr>
          <w:rFonts w:asciiTheme="minorHAnsi" w:hAnsiTheme="minorHAnsi" w:cstheme="minorHAnsi"/>
        </w:rPr>
        <w:t xml:space="preserve">will provide attendees with </w:t>
      </w:r>
      <w:r w:rsidRPr="003E47A2">
        <w:rPr>
          <w:rFonts w:asciiTheme="minorHAnsi" w:hAnsiTheme="minorHAnsi" w:cstheme="minorHAnsi"/>
          <w:color w:val="000000"/>
        </w:rPr>
        <w:t>a current overview of Oklahoma’s law on production in paying quantities and the various quiet title/lease cancellation suits that can be brought by mineral owners, top lessees, etc.  Keith’s firm has a case pending in the OK Supreme Court which has the opportunity to finally provide some much needed “clarity” on the topic as Oklahoma’s law has been a little vague/ambiguous for nearly 25 years given certain Supreme Court decisions.</w:t>
      </w:r>
    </w:p>
    <w:p w:rsidR="00E04CBE" w:rsidRPr="00D84D3C" w:rsidRDefault="00D84D3C" w:rsidP="00BA5FA1">
      <w:pPr>
        <w:spacing w:before="100" w:beforeAutospacing="1" w:after="100" w:afterAutospacing="1"/>
        <w:rPr>
          <w:rFonts w:asciiTheme="minorHAnsi" w:hAnsiTheme="minorHAnsi"/>
          <w:b/>
          <w:bCs/>
          <w:color w:val="538135" w:themeColor="accent6" w:themeShade="BF"/>
        </w:rPr>
      </w:pPr>
      <w:r>
        <w:rPr>
          <w:rFonts w:asciiTheme="minorHAnsi" w:hAnsiTheme="minorHAnsi"/>
          <w:b/>
          <w:bCs/>
          <w:color w:val="538135" w:themeColor="accent6" w:themeShade="BF"/>
        </w:rPr>
        <w:t>3:00 pm – 4:00 pm:</w:t>
      </w:r>
      <w:r>
        <w:rPr>
          <w:rFonts w:asciiTheme="minorHAnsi" w:hAnsiTheme="minorHAnsi"/>
          <w:b/>
          <w:bCs/>
          <w:color w:val="538135" w:themeColor="accent6" w:themeShade="BF"/>
        </w:rPr>
        <w:tab/>
      </w:r>
      <w:r w:rsidR="00BA5FA1" w:rsidRPr="009B5B45">
        <w:rPr>
          <w:rFonts w:asciiTheme="minorHAnsi" w:hAnsiTheme="minorHAnsi"/>
          <w:b/>
          <w:bCs/>
          <w:sz w:val="24"/>
          <w:szCs w:val="24"/>
        </w:rPr>
        <w:t>ETHICS</w:t>
      </w:r>
      <w:r w:rsidR="00E04CBE" w:rsidRPr="009B5B45">
        <w:rPr>
          <w:rFonts w:asciiTheme="minorHAnsi" w:hAnsiTheme="minorHAnsi"/>
          <w:b/>
          <w:bCs/>
          <w:sz w:val="24"/>
          <w:szCs w:val="24"/>
        </w:rPr>
        <w:t xml:space="preserve"> PRESENTATION</w:t>
      </w:r>
      <w:r>
        <w:rPr>
          <w:rFonts w:asciiTheme="minorHAnsi" w:hAnsiTheme="minorHAnsi"/>
        </w:rPr>
        <w:t xml:space="preserve">: </w:t>
      </w:r>
      <w:r w:rsidRPr="00D84D3C">
        <w:rPr>
          <w:rFonts w:asciiTheme="minorHAnsi" w:hAnsiTheme="minorHAnsi"/>
          <w:b/>
        </w:rPr>
        <w:t>“WHEN MINERAL BUYERS HAVE A DUTY TO DISCLOSE”</w:t>
      </w:r>
    </w:p>
    <w:p w:rsidR="00C71DB4" w:rsidRPr="00BA5FA1" w:rsidRDefault="00C71DB4" w:rsidP="00C71DB4">
      <w:pPr>
        <w:spacing w:before="100" w:beforeAutospacing="1" w:after="100" w:afterAutospacing="1"/>
        <w:ind w:left="2160"/>
        <w:rPr>
          <w:rFonts w:asciiTheme="minorHAnsi" w:hAnsiTheme="minorHAnsi"/>
        </w:rPr>
      </w:pPr>
      <w:r w:rsidRPr="00482FCF">
        <w:rPr>
          <w:rFonts w:asciiTheme="minorHAnsi" w:hAnsiTheme="minorHAnsi"/>
          <w:color w:val="2E74B5" w:themeColor="accent1" w:themeShade="BF"/>
        </w:rPr>
        <w:t xml:space="preserve">Jason Baker </w:t>
      </w:r>
      <w:r>
        <w:rPr>
          <w:rFonts w:asciiTheme="minorHAnsi" w:hAnsiTheme="minorHAnsi"/>
        </w:rPr>
        <w:t>with Jason D. Baker, Attorney at Law. P.C. will provide an overview of when a mineral buyer may have an obligation to disclose known facts</w:t>
      </w:r>
      <w:r w:rsidR="003E47A2">
        <w:rPr>
          <w:rFonts w:asciiTheme="minorHAnsi" w:hAnsiTheme="minorHAnsi"/>
        </w:rPr>
        <w:t xml:space="preserve"> about the asset to the seller.</w:t>
      </w:r>
    </w:p>
    <w:p w:rsidR="00E12881" w:rsidRDefault="00E12881" w:rsidP="003E47A2">
      <w:pPr>
        <w:pBdr>
          <w:bottom w:val="single" w:sz="12" w:space="0" w:color="auto"/>
        </w:pBdr>
        <w:rPr>
          <w:rFonts w:asciiTheme="minorHAnsi" w:hAnsiTheme="minorHAnsi"/>
        </w:rPr>
      </w:pPr>
    </w:p>
    <w:p w:rsidR="00E12881" w:rsidRDefault="00E12881" w:rsidP="00BA5FA1">
      <w:pPr>
        <w:rPr>
          <w:rFonts w:asciiTheme="minorHAnsi" w:hAnsiTheme="minorHAnsi"/>
        </w:rPr>
      </w:pPr>
    </w:p>
    <w:p w:rsidR="00923169" w:rsidRDefault="00923169" w:rsidP="00BA5FA1">
      <w:pPr>
        <w:rPr>
          <w:rFonts w:asciiTheme="minorHAnsi" w:hAnsiTheme="minorHAnsi"/>
        </w:rPr>
      </w:pPr>
    </w:p>
    <w:p w:rsidR="00E12881" w:rsidRDefault="00E12881" w:rsidP="00BA5FA1">
      <w:pPr>
        <w:rPr>
          <w:rFonts w:asciiTheme="minorHAnsi" w:hAnsiTheme="minorHAnsi"/>
        </w:rPr>
      </w:pPr>
      <w:r>
        <w:rPr>
          <w:rFonts w:asciiTheme="minorHAnsi" w:hAnsiTheme="minorHAnsi"/>
        </w:rPr>
        <w:t>Best r</w:t>
      </w:r>
      <w:r w:rsidR="00BA5FA1" w:rsidRPr="00BA5FA1">
        <w:rPr>
          <w:rFonts w:asciiTheme="minorHAnsi" w:hAnsiTheme="minorHAnsi"/>
        </w:rPr>
        <w:t xml:space="preserve">egards, and </w:t>
      </w:r>
      <w:r w:rsidR="00EC0E25">
        <w:rPr>
          <w:rFonts w:asciiTheme="minorHAnsi" w:hAnsiTheme="minorHAnsi"/>
        </w:rPr>
        <w:t xml:space="preserve">on behalf of the TAPL Education Committee, </w:t>
      </w:r>
      <w:r w:rsidR="00BA5FA1" w:rsidRPr="00BA5FA1">
        <w:rPr>
          <w:rFonts w:asciiTheme="minorHAnsi" w:hAnsiTheme="minorHAnsi"/>
        </w:rPr>
        <w:t xml:space="preserve">we look forward to seeing you </w:t>
      </w:r>
      <w:r w:rsidR="00923169">
        <w:rPr>
          <w:rFonts w:asciiTheme="minorHAnsi" w:hAnsiTheme="minorHAnsi"/>
        </w:rPr>
        <w:t xml:space="preserve">on </w:t>
      </w:r>
      <w:r w:rsidR="00D84D3C">
        <w:rPr>
          <w:rFonts w:asciiTheme="minorHAnsi" w:hAnsiTheme="minorHAnsi"/>
        </w:rPr>
        <w:t>May 3</w:t>
      </w:r>
      <w:r w:rsidR="00D84D3C" w:rsidRPr="00D84D3C">
        <w:rPr>
          <w:rFonts w:asciiTheme="minorHAnsi" w:hAnsiTheme="minorHAnsi"/>
          <w:vertAlign w:val="superscript"/>
        </w:rPr>
        <w:t>rd</w:t>
      </w:r>
      <w:r w:rsidR="00BA5FA1" w:rsidRPr="00BA5FA1">
        <w:rPr>
          <w:rFonts w:asciiTheme="minorHAnsi" w:hAnsiTheme="minorHAnsi"/>
        </w:rPr>
        <w:t>.</w:t>
      </w:r>
    </w:p>
    <w:p w:rsidR="00E12881" w:rsidRDefault="00E12881" w:rsidP="00BA5FA1">
      <w:pPr>
        <w:rPr>
          <w:rFonts w:ascii="Franklin Gothic Book" w:hAnsi="Franklin Gothic Book"/>
          <w:color w:val="000000"/>
          <w:sz w:val="20"/>
          <w:szCs w:val="20"/>
        </w:rPr>
      </w:pPr>
    </w:p>
    <w:p w:rsidR="00F769B2" w:rsidRDefault="00515C0E" w:rsidP="00E12881">
      <w:pPr>
        <w:rPr>
          <w:rFonts w:ascii="Franklin Gothic Book" w:hAnsi="Franklin Gothic Book"/>
          <w:color w:val="000000"/>
          <w:sz w:val="20"/>
          <w:szCs w:val="20"/>
        </w:rPr>
      </w:pPr>
      <w:r>
        <w:rPr>
          <w:noProof/>
        </w:rPr>
        <w:drawing>
          <wp:inline distT="0" distB="0" distL="0" distR="0" wp14:anchorId="5D422E1E" wp14:editId="4EF00AFE">
            <wp:extent cx="1699260" cy="43293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527" cy="463572"/>
                    </a:xfrm>
                    <a:prstGeom prst="rect">
                      <a:avLst/>
                    </a:prstGeom>
                  </pic:spPr>
                </pic:pic>
              </a:graphicData>
            </a:graphic>
          </wp:inline>
        </w:drawing>
      </w:r>
    </w:p>
    <w:p w:rsidR="00F769B2" w:rsidRDefault="00F769B2" w:rsidP="00BA5FA1">
      <w:pPr>
        <w:rPr>
          <w:rFonts w:ascii="Franklin Gothic Book" w:hAnsi="Franklin Gothic Book"/>
          <w:color w:val="000000"/>
          <w:sz w:val="20"/>
          <w:szCs w:val="20"/>
        </w:rPr>
      </w:pPr>
      <w:r>
        <w:rPr>
          <w:rFonts w:ascii="Franklin Gothic Book" w:hAnsi="Franklin Gothic Book"/>
          <w:b/>
          <w:bCs/>
          <w:color w:val="04713F"/>
          <w:sz w:val="23"/>
          <w:szCs w:val="23"/>
        </w:rPr>
        <w:t>M</w:t>
      </w:r>
      <w:r w:rsidR="00D84D3C">
        <w:rPr>
          <w:rFonts w:ascii="Franklin Gothic Book" w:hAnsi="Franklin Gothic Book"/>
          <w:b/>
          <w:bCs/>
          <w:color w:val="04713F"/>
          <w:sz w:val="23"/>
          <w:szCs w:val="23"/>
        </w:rPr>
        <w:t>ichael Schooley</w:t>
      </w:r>
      <w:r w:rsidR="00BA5FA1">
        <w:rPr>
          <w:rFonts w:ascii="Franklin Gothic Book" w:hAnsi="Franklin Gothic Book"/>
          <w:b/>
          <w:bCs/>
          <w:color w:val="04713F"/>
          <w:sz w:val="23"/>
          <w:szCs w:val="23"/>
        </w:rPr>
        <w:t xml:space="preserve">, </w:t>
      </w:r>
      <w:r w:rsidR="00BA5FA1">
        <w:rPr>
          <w:rFonts w:ascii="Franklin Gothic Book" w:hAnsi="Franklin Gothic Book"/>
          <w:b/>
          <w:bCs/>
          <w:color w:val="04713F"/>
        </w:rPr>
        <w:t>CPL</w:t>
      </w:r>
      <w:r w:rsidR="00BA5FA1">
        <w:rPr>
          <w:rFonts w:ascii="Franklin Gothic Book" w:hAnsi="Franklin Gothic Book"/>
          <w:b/>
          <w:bCs/>
        </w:rPr>
        <w:t xml:space="preserve"> </w:t>
      </w:r>
    </w:p>
    <w:p w:rsidR="00BA5FA1" w:rsidRPr="00F769B2" w:rsidRDefault="00BA5FA1" w:rsidP="00BA5FA1">
      <w:pPr>
        <w:rPr>
          <w:rFonts w:ascii="Franklin Gothic Book" w:hAnsi="Franklin Gothic Book"/>
          <w:color w:val="000000"/>
          <w:sz w:val="20"/>
          <w:szCs w:val="20"/>
        </w:rPr>
      </w:pPr>
      <w:r>
        <w:rPr>
          <w:rFonts w:ascii="Franklin Gothic Book" w:hAnsi="Franklin Gothic Book"/>
          <w:b/>
          <w:bCs/>
          <w:sz w:val="23"/>
          <w:szCs w:val="23"/>
        </w:rPr>
        <w:t>Education Director</w:t>
      </w:r>
    </w:p>
    <w:p w:rsidR="00BA5FA1" w:rsidRDefault="00BA5FA1" w:rsidP="00BA5FA1">
      <w:pPr>
        <w:rPr>
          <w:sz w:val="20"/>
          <w:szCs w:val="20"/>
        </w:rPr>
      </w:pPr>
    </w:p>
    <w:p w:rsidR="00BA5FA1" w:rsidRDefault="00F733B9">
      <w:r>
        <w:rPr>
          <w:noProof/>
        </w:rPr>
        <w:drawing>
          <wp:anchor distT="0" distB="0" distL="114300" distR="114300" simplePos="0" relativeHeight="251658240" behindDoc="0" locked="0" layoutInCell="1" allowOverlap="0">
            <wp:simplePos x="0" y="0"/>
            <wp:positionH relativeFrom="margin">
              <wp:posOffset>9525</wp:posOffset>
            </wp:positionH>
            <wp:positionV relativeFrom="page">
              <wp:posOffset>7498080</wp:posOffset>
            </wp:positionV>
            <wp:extent cx="1097280" cy="1059180"/>
            <wp:effectExtent l="0" t="0" r="7620" b="7620"/>
            <wp:wrapNone/>
            <wp:docPr id="2" name="Picture 2" descr="TAP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APL_Log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59180"/>
                    </a:xfrm>
                    <a:prstGeom prst="rect">
                      <a:avLst/>
                    </a:prstGeom>
                    <a:noFill/>
                  </pic:spPr>
                </pic:pic>
              </a:graphicData>
            </a:graphic>
            <wp14:sizeRelH relativeFrom="page">
              <wp14:pctWidth>0</wp14:pctWidth>
            </wp14:sizeRelH>
            <wp14:sizeRelV relativeFrom="page">
              <wp14:pctHeight>0</wp14:pctHeight>
            </wp14:sizeRelV>
          </wp:anchor>
        </w:drawing>
      </w:r>
    </w:p>
    <w:sectPr w:rsidR="00BA5FA1" w:rsidSect="00E12881">
      <w:pgSz w:w="12240" w:h="20160" w:code="5"/>
      <w:pgMar w:top="1008" w:right="1080" w:bottom="1440" w:left="1080" w:header="720" w:footer="475"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58" w:rsidRDefault="00264958" w:rsidP="00802009">
      <w:r>
        <w:separator/>
      </w:r>
    </w:p>
  </w:endnote>
  <w:endnote w:type="continuationSeparator" w:id="0">
    <w:p w:rsidR="00264958" w:rsidRDefault="00264958" w:rsidP="0080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58" w:rsidRDefault="00264958" w:rsidP="00802009">
      <w:r>
        <w:separator/>
      </w:r>
    </w:p>
  </w:footnote>
  <w:footnote w:type="continuationSeparator" w:id="0">
    <w:p w:rsidR="00264958" w:rsidRDefault="00264958" w:rsidP="0080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988"/>
    <w:multiLevelType w:val="hybridMultilevel"/>
    <w:tmpl w:val="FDF6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F9001D9"/>
    <w:multiLevelType w:val="hybridMultilevel"/>
    <w:tmpl w:val="3BA0C8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A1"/>
    <w:rsid w:val="000F65B4"/>
    <w:rsid w:val="001B7238"/>
    <w:rsid w:val="002520C4"/>
    <w:rsid w:val="00264958"/>
    <w:rsid w:val="002F3116"/>
    <w:rsid w:val="00317692"/>
    <w:rsid w:val="003205BE"/>
    <w:rsid w:val="00350ADE"/>
    <w:rsid w:val="003842E4"/>
    <w:rsid w:val="003C1D8D"/>
    <w:rsid w:val="003E47A2"/>
    <w:rsid w:val="004243AE"/>
    <w:rsid w:val="00466125"/>
    <w:rsid w:val="00480660"/>
    <w:rsid w:val="00482FCF"/>
    <w:rsid w:val="00515C0E"/>
    <w:rsid w:val="0052487E"/>
    <w:rsid w:val="00543FE0"/>
    <w:rsid w:val="0058782A"/>
    <w:rsid w:val="005B766B"/>
    <w:rsid w:val="005F35A5"/>
    <w:rsid w:val="006710E3"/>
    <w:rsid w:val="00671D33"/>
    <w:rsid w:val="0074634B"/>
    <w:rsid w:val="007607D9"/>
    <w:rsid w:val="0076199C"/>
    <w:rsid w:val="007A22E6"/>
    <w:rsid w:val="007C7F49"/>
    <w:rsid w:val="00802009"/>
    <w:rsid w:val="0081086C"/>
    <w:rsid w:val="00865C1E"/>
    <w:rsid w:val="008664C4"/>
    <w:rsid w:val="008F354C"/>
    <w:rsid w:val="0091505A"/>
    <w:rsid w:val="00923169"/>
    <w:rsid w:val="00937696"/>
    <w:rsid w:val="0096333D"/>
    <w:rsid w:val="00973D10"/>
    <w:rsid w:val="009B5B45"/>
    <w:rsid w:val="00A916AD"/>
    <w:rsid w:val="00A93145"/>
    <w:rsid w:val="00AC1B95"/>
    <w:rsid w:val="00B523B0"/>
    <w:rsid w:val="00BA5FA1"/>
    <w:rsid w:val="00C01B6C"/>
    <w:rsid w:val="00C71DB4"/>
    <w:rsid w:val="00C8634F"/>
    <w:rsid w:val="00C92860"/>
    <w:rsid w:val="00CD0B9E"/>
    <w:rsid w:val="00D8044D"/>
    <w:rsid w:val="00D84D3C"/>
    <w:rsid w:val="00D9650C"/>
    <w:rsid w:val="00DA3CCD"/>
    <w:rsid w:val="00DB01AD"/>
    <w:rsid w:val="00E04CBE"/>
    <w:rsid w:val="00E05A69"/>
    <w:rsid w:val="00E12881"/>
    <w:rsid w:val="00E32F4F"/>
    <w:rsid w:val="00E56AF9"/>
    <w:rsid w:val="00EC0E25"/>
    <w:rsid w:val="00F733B9"/>
    <w:rsid w:val="00F769B2"/>
    <w:rsid w:val="00F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8127-151C-4D05-9E5C-4EA4B60B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5FA1"/>
  </w:style>
  <w:style w:type="paragraph" w:customStyle="1" w:styleId="gmail-msonospacing">
    <w:name w:val="gmail-msonospacing"/>
    <w:basedOn w:val="Normal"/>
    <w:rsid w:val="00BA5FA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02009"/>
    <w:pPr>
      <w:tabs>
        <w:tab w:val="center" w:pos="4680"/>
        <w:tab w:val="right" w:pos="9360"/>
      </w:tabs>
    </w:pPr>
  </w:style>
  <w:style w:type="character" w:customStyle="1" w:styleId="HeaderChar">
    <w:name w:val="Header Char"/>
    <w:basedOn w:val="DefaultParagraphFont"/>
    <w:link w:val="Header"/>
    <w:uiPriority w:val="99"/>
    <w:rsid w:val="00802009"/>
    <w:rPr>
      <w:rFonts w:ascii="Calibri" w:hAnsi="Calibri" w:cs="Times New Roman"/>
    </w:rPr>
  </w:style>
  <w:style w:type="paragraph" w:styleId="Footer">
    <w:name w:val="footer"/>
    <w:basedOn w:val="Normal"/>
    <w:link w:val="FooterChar"/>
    <w:uiPriority w:val="99"/>
    <w:unhideWhenUsed/>
    <w:rsid w:val="00802009"/>
    <w:pPr>
      <w:tabs>
        <w:tab w:val="center" w:pos="4680"/>
        <w:tab w:val="right" w:pos="9360"/>
      </w:tabs>
    </w:pPr>
  </w:style>
  <w:style w:type="character" w:customStyle="1" w:styleId="FooterChar">
    <w:name w:val="Footer Char"/>
    <w:basedOn w:val="DefaultParagraphFont"/>
    <w:link w:val="Footer"/>
    <w:uiPriority w:val="99"/>
    <w:rsid w:val="00802009"/>
    <w:rPr>
      <w:rFonts w:ascii="Calibri" w:hAnsi="Calibri" w:cs="Times New Roman"/>
    </w:rPr>
  </w:style>
  <w:style w:type="paragraph" w:styleId="ListParagraph">
    <w:name w:val="List Paragraph"/>
    <w:basedOn w:val="Normal"/>
    <w:uiPriority w:val="34"/>
    <w:qFormat/>
    <w:rsid w:val="00A93145"/>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524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4046">
      <w:bodyDiv w:val="1"/>
      <w:marLeft w:val="0"/>
      <w:marRight w:val="0"/>
      <w:marTop w:val="0"/>
      <w:marBottom w:val="0"/>
      <w:divBdr>
        <w:top w:val="none" w:sz="0" w:space="0" w:color="auto"/>
        <w:left w:val="none" w:sz="0" w:space="0" w:color="auto"/>
        <w:bottom w:val="none" w:sz="0" w:space="0" w:color="auto"/>
        <w:right w:val="none" w:sz="0" w:space="0" w:color="auto"/>
      </w:divBdr>
    </w:div>
    <w:div w:id="444350100">
      <w:bodyDiv w:val="1"/>
      <w:marLeft w:val="0"/>
      <w:marRight w:val="0"/>
      <w:marTop w:val="0"/>
      <w:marBottom w:val="0"/>
      <w:divBdr>
        <w:top w:val="none" w:sz="0" w:space="0" w:color="auto"/>
        <w:left w:val="none" w:sz="0" w:space="0" w:color="auto"/>
        <w:bottom w:val="none" w:sz="0" w:space="0" w:color="auto"/>
        <w:right w:val="none" w:sz="0" w:space="0" w:color="auto"/>
      </w:divBdr>
    </w:div>
    <w:div w:id="1169368671">
      <w:bodyDiv w:val="1"/>
      <w:marLeft w:val="0"/>
      <w:marRight w:val="0"/>
      <w:marTop w:val="0"/>
      <w:marBottom w:val="0"/>
      <w:divBdr>
        <w:top w:val="none" w:sz="0" w:space="0" w:color="auto"/>
        <w:left w:val="none" w:sz="0" w:space="0" w:color="auto"/>
        <w:bottom w:val="none" w:sz="0" w:space="0" w:color="auto"/>
        <w:right w:val="none" w:sz="0" w:space="0" w:color="auto"/>
      </w:divBdr>
    </w:div>
    <w:div w:id="1622035668">
      <w:bodyDiv w:val="1"/>
      <w:marLeft w:val="0"/>
      <w:marRight w:val="0"/>
      <w:marTop w:val="0"/>
      <w:marBottom w:val="0"/>
      <w:divBdr>
        <w:top w:val="none" w:sz="0" w:space="0" w:color="auto"/>
        <w:left w:val="none" w:sz="0" w:space="0" w:color="auto"/>
        <w:bottom w:val="none" w:sz="0" w:space="0" w:color="auto"/>
        <w:right w:val="none" w:sz="0" w:space="0" w:color="auto"/>
      </w:divBdr>
    </w:div>
    <w:div w:id="18637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ADolinsky</dc:creator>
  <cp:keywords/>
  <dc:description/>
  <cp:lastModifiedBy>Michelle Linton</cp:lastModifiedBy>
  <cp:revision>2</cp:revision>
  <cp:lastPrinted>2018-04-11T16:14:00Z</cp:lastPrinted>
  <dcterms:created xsi:type="dcterms:W3CDTF">2018-04-17T20:23:00Z</dcterms:created>
  <dcterms:modified xsi:type="dcterms:W3CDTF">2018-04-17T20:23:00Z</dcterms:modified>
</cp:coreProperties>
</file>